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313" w:type="dxa"/>
        <w:tblInd w:w="96" w:type="dxa"/>
        <w:tblLayout w:type="autofit"/>
        <w:tblCellMar>
          <w:top w:w="0" w:type="dxa"/>
          <w:left w:w="108" w:type="dxa"/>
          <w:bottom w:w="0" w:type="dxa"/>
          <w:right w:w="108" w:type="dxa"/>
        </w:tblCellMar>
      </w:tblPr>
      <w:tblGrid>
        <w:gridCol w:w="2078"/>
        <w:gridCol w:w="2078"/>
        <w:gridCol w:w="2078"/>
        <w:gridCol w:w="2079"/>
      </w:tblGrid>
      <w:tr>
        <w:tblPrEx>
          <w:tblCellMar>
            <w:top w:w="0" w:type="dxa"/>
            <w:left w:w="108" w:type="dxa"/>
            <w:bottom w:w="0" w:type="dxa"/>
            <w:right w:w="108" w:type="dxa"/>
          </w:tblCellMar>
        </w:tblPrEx>
        <w:trPr>
          <w:trHeight w:val="613" w:hRule="atLeast"/>
        </w:trPr>
        <w:tc>
          <w:tcPr>
            <w:tcW w:w="8313" w:type="dxa"/>
            <w:gridSpan w:val="4"/>
            <w:tcBorders>
              <w:top w:val="nil"/>
              <w:left w:val="nil"/>
              <w:bottom w:val="nil"/>
              <w:right w:val="nil"/>
            </w:tcBorders>
            <w:noWrap w:val="0"/>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徐州市本级项目支出绩效自评价情况表</w:t>
            </w:r>
          </w:p>
        </w:tc>
      </w:tr>
      <w:tr>
        <w:tblPrEx>
          <w:tblCellMar>
            <w:top w:w="0" w:type="dxa"/>
            <w:left w:w="108" w:type="dxa"/>
            <w:bottom w:w="0" w:type="dxa"/>
            <w:right w:w="108" w:type="dxa"/>
          </w:tblCellMar>
        </w:tblPrEx>
        <w:trPr>
          <w:trHeight w:val="534" w:hRule="atLeast"/>
        </w:trPr>
        <w:tc>
          <w:tcPr>
            <w:tcW w:w="20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填报单位：</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徐州市老干部活动（服务）中心</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项目名称：</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老干部活动中心大楼维保经费</w:t>
            </w:r>
          </w:p>
        </w:tc>
      </w:tr>
      <w:tr>
        <w:tblPrEx>
          <w:tblCellMar>
            <w:top w:w="0" w:type="dxa"/>
            <w:left w:w="108" w:type="dxa"/>
            <w:bottom w:w="0" w:type="dxa"/>
            <w:right w:w="108" w:type="dxa"/>
          </w:tblCellMar>
        </w:tblPrEx>
        <w:trPr>
          <w:trHeight w:val="534" w:hRule="atLeast"/>
        </w:trPr>
        <w:tc>
          <w:tcPr>
            <w:tcW w:w="207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项目实施年度：</w:t>
            </w:r>
          </w:p>
        </w:tc>
        <w:tc>
          <w:tcPr>
            <w:tcW w:w="6235"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2023</w:t>
            </w:r>
          </w:p>
        </w:tc>
      </w:tr>
      <w:tr>
        <w:tblPrEx>
          <w:tblCellMar>
            <w:top w:w="0" w:type="dxa"/>
            <w:left w:w="108" w:type="dxa"/>
            <w:bottom w:w="0" w:type="dxa"/>
            <w:right w:w="108" w:type="dxa"/>
          </w:tblCellMar>
        </w:tblPrEx>
        <w:trPr>
          <w:trHeight w:val="678" w:hRule="atLeast"/>
        </w:trPr>
        <w:tc>
          <w:tcPr>
            <w:tcW w:w="2078" w:type="dxa"/>
            <w:tcBorders>
              <w:top w:val="nil"/>
              <w:left w:val="single" w:color="000000" w:sz="4" w:space="0"/>
              <w:bottom w:val="single" w:color="000000" w:sz="4" w:space="0"/>
              <w:right w:val="single" w:color="000000" w:sz="4" w:space="0"/>
            </w:tcBorders>
            <w:noWrap w:val="0"/>
            <w:vAlign w:val="center"/>
          </w:tcPr>
          <w:p>
            <w:pPr>
              <w:widowControl/>
              <w:jc w:val="center"/>
              <w:rPr>
                <w:rFonts w:ascii="宋体" w:hAnsi="宋体" w:cs="宋体"/>
                <w:b/>
                <w:bCs/>
                <w:color w:val="000000"/>
                <w:kern w:val="0"/>
                <w:sz w:val="20"/>
                <w:szCs w:val="20"/>
              </w:rPr>
            </w:pPr>
            <w:bookmarkStart w:id="0" w:name="_GoBack" w:colFirst="0" w:colLast="3"/>
            <w:r>
              <w:rPr>
                <w:rFonts w:hint="eastAsia" w:ascii="宋体" w:hAnsi="宋体" w:cs="宋体"/>
                <w:b/>
                <w:bCs/>
                <w:color w:val="000000"/>
                <w:kern w:val="0"/>
                <w:sz w:val="20"/>
                <w:szCs w:val="20"/>
              </w:rPr>
              <w:t>项目实施开始时间</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（年/月）：</w:t>
            </w:r>
          </w:p>
        </w:tc>
        <w:tc>
          <w:tcPr>
            <w:tcW w:w="2078" w:type="dxa"/>
            <w:tcBorders>
              <w:top w:val="nil"/>
              <w:left w:val="nil"/>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01</w:t>
            </w:r>
          </w:p>
        </w:tc>
        <w:tc>
          <w:tcPr>
            <w:tcW w:w="2078" w:type="dxa"/>
            <w:tcBorders>
              <w:top w:val="nil"/>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项目实施完成时间</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（年/月）：</w:t>
            </w:r>
          </w:p>
        </w:tc>
        <w:tc>
          <w:tcPr>
            <w:tcW w:w="2078" w:type="dxa"/>
            <w:tcBorders>
              <w:top w:val="nil"/>
              <w:left w:val="nil"/>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12</w:t>
            </w:r>
          </w:p>
        </w:tc>
      </w:tr>
      <w:bookmarkEnd w:id="0"/>
      <w:tr>
        <w:tblPrEx>
          <w:tblCellMar>
            <w:top w:w="0" w:type="dxa"/>
            <w:left w:w="108" w:type="dxa"/>
            <w:bottom w:w="0" w:type="dxa"/>
            <w:right w:w="108" w:type="dxa"/>
          </w:tblCellMar>
        </w:tblPrEx>
        <w:trPr>
          <w:trHeight w:val="387"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项目自评情况</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一、项目概况（项目政策、资金分配使用、项目实施情况等）</w:t>
            </w:r>
          </w:p>
        </w:tc>
      </w:tr>
      <w:tr>
        <w:tblPrEx>
          <w:tblCellMar>
            <w:top w:w="0" w:type="dxa"/>
            <w:left w:w="108" w:type="dxa"/>
            <w:bottom w:w="0" w:type="dxa"/>
            <w:right w:w="108" w:type="dxa"/>
          </w:tblCellMar>
        </w:tblPrEx>
        <w:trPr>
          <w:trHeight w:val="966"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本单位内设有2部电梯，需进行月度维护、年度检修；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本单位有两处在使用中楼房，且建筑年代久远，各处运转不可避免的需要维修更新；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活动中心大楼和云西活动室各屋内还配有活动器材和办公设备，均有使用年限，需定期维修维护。</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二、评价情况（评价思路、方式、做法，以及评价指标体系设置和评价结论等）</w:t>
            </w:r>
          </w:p>
        </w:tc>
      </w:tr>
      <w:tr>
        <w:tblPrEx>
          <w:tblCellMar>
            <w:top w:w="0" w:type="dxa"/>
            <w:left w:w="108" w:type="dxa"/>
            <w:bottom w:w="0" w:type="dxa"/>
            <w:right w:w="108" w:type="dxa"/>
          </w:tblCellMar>
        </w:tblPrEx>
        <w:trPr>
          <w:trHeight w:val="1454"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1.明确评价程序。初步确定绩效评价工作应包括前期准备情况、项目实施情况、完成情况三个阶段。</w:t>
            </w:r>
          </w:p>
          <w:p>
            <w:pPr>
              <w:widowControl/>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2.确定评价内容。从前期筹备工作开始到项目实施阶段以及最后项目完成情况进行综合评价。重点评价项目预算情况、预算执行情况以及绩效目标</w:t>
            </w:r>
            <w:r>
              <w:rPr>
                <w:rFonts w:hint="eastAsia" w:ascii="宋体" w:hAnsi="宋体" w:cs="宋体"/>
                <w:color w:val="000000"/>
                <w:kern w:val="0"/>
                <w:sz w:val="20"/>
                <w:szCs w:val="20"/>
                <w:lang w:eastAsia="zh-CN"/>
              </w:rPr>
              <w:t>完成</w:t>
            </w:r>
            <w:r>
              <w:rPr>
                <w:rFonts w:hint="eastAsia" w:ascii="宋体" w:hAnsi="宋体" w:cs="宋体"/>
                <w:color w:val="000000"/>
                <w:kern w:val="0"/>
                <w:sz w:val="20"/>
                <w:szCs w:val="20"/>
              </w:rPr>
              <w:t>情况。</w:t>
            </w:r>
          </w:p>
          <w:p>
            <w:pPr>
              <w:jc w:val="left"/>
              <w:rPr>
                <w:rFonts w:hint="eastAsia" w:ascii="宋体" w:hAnsi="宋体" w:cs="宋体"/>
                <w:color w:val="000000"/>
                <w:kern w:val="0"/>
                <w:sz w:val="20"/>
                <w:szCs w:val="20"/>
              </w:rPr>
            </w:pPr>
            <w:r>
              <w:rPr>
                <w:rFonts w:hint="eastAsia" w:ascii="宋体" w:hAnsi="宋体" w:cs="宋体"/>
                <w:color w:val="000000"/>
                <w:kern w:val="0"/>
                <w:sz w:val="20"/>
                <w:szCs w:val="20"/>
              </w:rPr>
              <w:t>3.形成评价结果。结合项目支出绩效，形成评价结果。包括产生指标情况、效益目标实现情况、项目管理情况等。</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三、项目绩效（通过绩效评价发现并总结的项目绩效）</w:t>
            </w:r>
          </w:p>
        </w:tc>
      </w:tr>
      <w:tr>
        <w:tblPrEx>
          <w:tblCellMar>
            <w:top w:w="0" w:type="dxa"/>
            <w:left w:w="108" w:type="dxa"/>
            <w:bottom w:w="0" w:type="dxa"/>
            <w:right w:w="108" w:type="dxa"/>
          </w:tblCellMar>
        </w:tblPrEx>
        <w:trPr>
          <w:trHeight w:val="109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通过绩效评价，可以看出，在老干部活动中心大楼维保中，确保了中心大楼主体稳固、安全，按照电梯合同约定金额完成月度、年度维保，并在预算内对电梯毁损部件进行维修、更换，以保证电梯安全运，老干部活动得到最基本的保障；楼内基础设施设备不断优化，保养及时，满足了老干部活动需求；对墙面、屋顶脱落、漏雨等突发情况进行维修维护，活动室环境日益提升，吸引更多符合条件的老干部走出家门，自愿前来丰富退休后生活；对办公电脑、空调、打印机、音响、LED屏幕等设备进行维护维修，办公环境得到保证，为老干部提供了更好的服务。</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四、存在问题（通过绩效评价所发现的问题，原则上按照决策、过程、产出、效益、满意度分别归类撰写）</w:t>
            </w:r>
          </w:p>
        </w:tc>
      </w:tr>
      <w:tr>
        <w:tblPrEx>
          <w:tblCellMar>
            <w:top w:w="0" w:type="dxa"/>
            <w:left w:w="108" w:type="dxa"/>
            <w:bottom w:w="0" w:type="dxa"/>
            <w:right w:w="108" w:type="dxa"/>
          </w:tblCellMar>
        </w:tblPrEx>
        <w:trPr>
          <w:trHeight w:val="1058"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(一)在决策方面：财政预算安排单项工作经费不足，难以足额保障开展专项工作。对于绩效评价的认识不够深入，把预算绩效简单等同于工作目标、工作考核和业务管理。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（二）在过程方面：绩效目标和指标往往根据项目实际完成情况制定，对项目执行过程有效约束不够，存在一定的偏差。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（三）在产出方面：在绩效考评指标的设计上，部分特色指标缺乏数据支持和可行的分析测评，绩效指标体系有待完善。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在效益方面：由于总体资金不足，在大楼主体稳固、安全，优化楼内基础设施设备，提升活动室环境，保证办公环境等方面存在不足，无法全面满足老干部活动需求，吸引更多符合条件的老干部走出家门，自愿前来丰富退休后生活，更好的为老干部提供服务。</w:t>
            </w:r>
          </w:p>
        </w:tc>
      </w:tr>
      <w:tr>
        <w:tblPrEx>
          <w:tblCellMar>
            <w:top w:w="0" w:type="dxa"/>
            <w:left w:w="108" w:type="dxa"/>
            <w:bottom w:w="0" w:type="dxa"/>
            <w:right w:w="108" w:type="dxa"/>
          </w:tblCellMar>
        </w:tblPrEx>
        <w:trPr>
          <w:trHeight w:val="445"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五、有关建议（针对存在的问题，分别提出相关完善或整改建议）</w:t>
            </w:r>
          </w:p>
        </w:tc>
      </w:tr>
      <w:tr>
        <w:tblPrEx>
          <w:tblCellMar>
            <w:top w:w="0" w:type="dxa"/>
            <w:left w:w="108" w:type="dxa"/>
            <w:bottom w:w="0" w:type="dxa"/>
            <w:right w:w="108" w:type="dxa"/>
          </w:tblCellMar>
        </w:tblPrEx>
        <w:trPr>
          <w:trHeight w:val="1121"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FF0000"/>
                <w:kern w:val="0"/>
                <w:sz w:val="20"/>
                <w:szCs w:val="20"/>
              </w:rPr>
            </w:pPr>
            <w:r>
              <w:rPr>
                <w:rFonts w:hint="eastAsia" w:ascii="宋体" w:hAnsi="宋体" w:eastAsia="宋体" w:cs="宋体"/>
                <w:i w:val="0"/>
                <w:color w:val="000000"/>
                <w:kern w:val="0"/>
                <w:sz w:val="20"/>
                <w:szCs w:val="20"/>
                <w:u w:val="none"/>
                <w:lang w:val="en-US" w:eastAsia="zh-CN" w:bidi="ar"/>
              </w:rPr>
              <w:t>(一)在决策方面：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要加强对预算绩效管理的组织领导，切实转变思想观念，牢固树立绩效意识。积极履行预算绩效管理主体责任，按照预算和绩效管理一体化要求，结合自身业务特点，深入分析徐州市老干部活动中心预算绩效管理工作实际，建立健全部门预算绩效管理工作组织体系和制度体系，优化预算管理流程，完善内控制度，加强预算绩效管理力量，充实预算绩效管理人员，明确落实部门内部绩效管理牵头部门，人员及事前绩效评估、绩效目标设置、绩效跟踪监控，绩效评价的责任分工，将绩效管理责任分解落实到具体部门、明确到具体责任人，加强业务工作与财务工作紧密衔接，确保每一笔资金花得安全、用得高效，推动全面实施预算绩效管理工作常态化、制度化、规范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(二)在过程方面：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根据项目实施进度及时拨付资金，尽可能减少资金拨付环节和资金拨付时间，避免资金闲置，截留，提高资金使用效率，避免造成财政资源浪费。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(三)在产出方面：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要根据制定的绩效目标，根据要求，做好预算执行工作，进一步加强单位内部机构各室的预算管理意识，严格按照预算编制的相关制度和要求进行预算执行，加强财务管理，严格财务审核，加强单位财务管理，健全单位财务管理制度体系，规范单位财务行为，在费用报账支付时，按照预算规定的费用项目和用途进行资金使用审核、列报支付、财务核算，度绝超支现象的发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(四)在效益方面：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进一步增加预算，在老干部活动中心大楼维保中，确保了中心大楼主体稳固、安全，按照电梯合同约定金额完成月度、年度维保，并在预算内对电梯毁损部件进行维修、更换，以保证电梯安全运，老干部活动得到最基本的保障；楼内基础设施设备不断优化，保养及时，满足了老干部活动需求；对墙面、屋顶脱落、漏雨等突发情况进行维修维护，活动室环境日益提升，吸引更多符合条件的老干部走出家门，自愿前来丰富退休后生活；对办公电脑、空调、打印机、音响、LED屏幕等设备进行维护维修，办公环境得到保证，为老干部提供了更好的服务。</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6D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2024-09-14T02:27:24Z</dcterms:created>
  <dc:creator>Administrator</dc:creator>
  <cp:lastModifiedBy>Administrator</cp:lastModifiedBy>
  <dcterms:modified xsi:type="dcterms:W3CDTF">2024-09-14T02:33:32Z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